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88" w:lineRule="auto"/>
        <w:ind w:firstLine="51"/>
        <w:textAlignment w:val="center"/>
        <w:rPr>
          <w:rFonts w:ascii="Times New Roman" w:hAnsi="Times New Roman" w:eastAsia="宋体" w:cs="Times New Roman"/>
          <w:b/>
          <w:bCs/>
          <w:color w:val="auto"/>
          <w:spacing w:val="-11"/>
          <w:sz w:val="24"/>
          <w:szCs w:val="32"/>
        </w:rPr>
      </w:pPr>
      <w:bookmarkStart w:id="0" w:name="_GoBack"/>
      <w:r>
        <w:rPr>
          <w:rFonts w:ascii="Times New Roman" w:hAnsi="Times New Roman" w:eastAsia="宋体" w:cs="宋体"/>
          <w:color w:val="auto"/>
          <w:spacing w:val="-11"/>
          <w:sz w:val="24"/>
          <w:szCs w:val="32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auto"/>
          <w:spacing w:val="-11"/>
          <w:sz w:val="24"/>
          <w:szCs w:val="32"/>
        </w:rPr>
        <w:t>5</w:t>
      </w:r>
      <w:r>
        <w:rPr>
          <w:rFonts w:ascii="Times New Roman" w:hAnsi="Times New Roman" w:eastAsia="宋体" w:cs="Times New Roman"/>
          <w:b/>
          <w:bCs/>
          <w:color w:val="auto"/>
          <w:spacing w:val="-11"/>
          <w:sz w:val="24"/>
          <w:szCs w:val="32"/>
        </w:rPr>
        <w:t>:</w:t>
      </w:r>
    </w:p>
    <w:p>
      <w:pPr>
        <w:spacing w:before="162" w:line="288" w:lineRule="auto"/>
        <w:ind w:firstLine="51"/>
        <w:jc w:val="center"/>
        <w:textAlignment w:val="center"/>
        <w:rPr>
          <w:rFonts w:ascii="Times New Roman" w:hAnsi="Times New Roman" w:eastAsia="宋体" w:cs="宋体"/>
          <w:b/>
          <w:bCs/>
          <w:color w:val="auto"/>
          <w:sz w:val="32"/>
          <w:szCs w:val="40"/>
        </w:rPr>
      </w:pPr>
      <w:r>
        <w:rPr>
          <w:rFonts w:hint="eastAsia" w:ascii="Times New Roman" w:hAnsi="Times New Roman" w:eastAsia="宋体" w:cs="宋体"/>
          <w:b/>
          <w:bCs/>
          <w:color w:val="auto"/>
          <w:sz w:val="32"/>
          <w:szCs w:val="40"/>
        </w:rPr>
        <w:t>第九届大学生物理实验创新设计竞赛</w:t>
      </w:r>
    </w:p>
    <w:p>
      <w:pPr>
        <w:spacing w:before="162" w:line="288" w:lineRule="auto"/>
        <w:ind w:firstLine="51"/>
        <w:jc w:val="center"/>
        <w:textAlignment w:val="center"/>
        <w:rPr>
          <w:rFonts w:ascii="Times New Roman" w:hAnsi="Times New Roman" w:eastAsia="宋体" w:cs="Times New Roman"/>
          <w:b/>
          <w:bCs/>
          <w:color w:val="auto"/>
          <w:sz w:val="24"/>
          <w:szCs w:val="32"/>
        </w:rPr>
      </w:pPr>
      <w:r>
        <w:rPr>
          <w:rFonts w:hint="eastAsia" w:ascii="Times New Roman" w:hAnsi="Times New Roman" w:eastAsia="宋体" w:cs="宋体"/>
          <w:b/>
          <w:bCs/>
          <w:color w:val="auto"/>
          <w:sz w:val="32"/>
          <w:szCs w:val="40"/>
        </w:rPr>
        <w:t>讲课竞赛细则及评审标准</w:t>
      </w:r>
      <w:bookmarkEnd w:id="0"/>
    </w:p>
    <w:p>
      <w:pPr>
        <w:spacing w:before="226" w:line="288" w:lineRule="auto"/>
        <w:ind w:left="22" w:right="122" w:firstLine="484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5"/>
          <w:sz w:val="24"/>
          <w:szCs w:val="24"/>
        </w:rPr>
        <w:t>该竞赛为</w:t>
      </w:r>
      <w:r>
        <w:rPr>
          <w:rFonts w:hint="eastAsia" w:ascii="Times New Roman" w:hAnsi="Times New Roman" w:eastAsia="宋体" w:cs="宋体"/>
          <w:color w:val="auto"/>
          <w:spacing w:val="-5"/>
          <w:sz w:val="24"/>
          <w:szCs w:val="24"/>
        </w:rPr>
        <w:t>第九届大学生物理实验创新设计竞赛</w:t>
      </w:r>
      <w:r>
        <w:rPr>
          <w:rFonts w:ascii="Times New Roman" w:hAnsi="Times New Roman" w:eastAsia="宋体" w:cs="宋体"/>
          <w:color w:val="auto"/>
          <w:spacing w:val="-5"/>
          <w:sz w:val="24"/>
          <w:szCs w:val="24"/>
        </w:rPr>
        <w:t>类别之一：大学生物理实</w:t>
      </w:r>
      <w:r>
        <w:rPr>
          <w:rFonts w:ascii="Times New Roman" w:hAnsi="Times New Roman" w:eastAsia="宋体" w:cs="宋体"/>
          <w:color w:val="auto"/>
          <w:spacing w:val="-1"/>
          <w:sz w:val="24"/>
          <w:szCs w:val="24"/>
        </w:rPr>
        <w:t>验讲课竞赛。</w:t>
      </w:r>
    </w:p>
    <w:p>
      <w:pPr>
        <w:spacing w:before="94" w:line="360" w:lineRule="auto"/>
        <w:ind w:firstLine="29"/>
        <w:textAlignment w:val="center"/>
        <w:outlineLvl w:val="6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b/>
          <w:bCs/>
          <w:color w:val="auto"/>
          <w:spacing w:val="-7"/>
          <w:sz w:val="28"/>
          <w:szCs w:val="28"/>
        </w:rPr>
        <w:t>一、竞赛形式</w:t>
      </w:r>
    </w:p>
    <w:p>
      <w:pPr>
        <w:spacing w:line="300" w:lineRule="auto"/>
        <w:ind w:firstLine="42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 w:cs="TimesNewRomanPSMT"/>
          <w:color w:val="auto"/>
          <w:sz w:val="24"/>
          <w:szCs w:val="24"/>
        </w:rPr>
        <w:t>1</w:t>
      </w:r>
      <w:r>
        <w:rPr>
          <w:rFonts w:ascii="宋体" w:hAnsi="宋体" w:eastAsia="宋体" w:cs="TimesNewRomanPSMT"/>
          <w:color w:val="auto"/>
          <w:sz w:val="24"/>
          <w:szCs w:val="24"/>
        </w:rPr>
        <w:t>.</w:t>
      </w:r>
      <w:r>
        <w:rPr>
          <w:rFonts w:ascii="宋体" w:hAnsi="宋体" w:eastAsia="宋体" w:cs="宋体"/>
          <w:color w:val="auto"/>
          <w:sz w:val="24"/>
          <w:szCs w:val="24"/>
        </w:rPr>
        <w:t>每个学校推荐讲课竞赛最多限报</w:t>
      </w:r>
      <w:r>
        <w:rPr>
          <w:rFonts w:ascii="宋体" w:hAnsi="宋体" w:eastAsia="宋体" w:cs="TimesNewRomanPSMT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项；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0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>2.</w:t>
      </w:r>
      <w:r>
        <w:rPr>
          <w:rFonts w:ascii="宋体" w:hAnsi="宋体" w:eastAsia="宋体" w:cs="宋体"/>
          <w:color w:val="auto"/>
          <w:sz w:val="24"/>
          <w:szCs w:val="24"/>
        </w:rPr>
        <w:t>讲课竞赛报</w:t>
      </w:r>
      <w:r>
        <w:rPr>
          <w:rFonts w:ascii="宋体" w:hAnsi="宋体" w:eastAsia="宋体" w:cs="TimesNewRomanPSMT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项的，作品须为不同实验内容和题目；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0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>3.</w:t>
      </w:r>
      <w:r>
        <w:rPr>
          <w:rFonts w:ascii="宋体" w:hAnsi="宋体" w:eastAsia="宋体" w:cs="宋体"/>
          <w:color w:val="auto"/>
          <w:sz w:val="24"/>
          <w:szCs w:val="24"/>
        </w:rPr>
        <w:t>参赛者申报参赛的作品以学校为单位报名，竞赛时正式注册的各类高等院校在校本</w:t>
      </w:r>
      <w:r>
        <w:rPr>
          <w:rFonts w:ascii="宋体" w:hAnsi="宋体" w:eastAsia="宋体" w:cs="TimesNewRomanPSMT"/>
          <w:color w:val="auto"/>
          <w:sz w:val="24"/>
          <w:szCs w:val="24"/>
        </w:rPr>
        <w:t>(</w:t>
      </w:r>
      <w:r>
        <w:rPr>
          <w:rFonts w:ascii="宋体" w:hAnsi="宋体" w:eastAsia="宋体" w:cs="宋体"/>
          <w:color w:val="auto"/>
          <w:sz w:val="24"/>
          <w:szCs w:val="24"/>
        </w:rPr>
        <w:t>专</w:t>
      </w:r>
      <w:r>
        <w:rPr>
          <w:rFonts w:ascii="宋体" w:hAnsi="宋体" w:eastAsia="宋体" w:cs="TimesNewRomanPSMT"/>
          <w:color w:val="auto"/>
          <w:sz w:val="24"/>
          <w:szCs w:val="24"/>
        </w:rPr>
        <w:t>)</w:t>
      </w:r>
      <w:r>
        <w:rPr>
          <w:rFonts w:ascii="宋体" w:hAnsi="宋体" w:eastAsia="宋体" w:cs="宋体"/>
          <w:color w:val="auto"/>
          <w:sz w:val="24"/>
          <w:szCs w:val="24"/>
        </w:rPr>
        <w:t>科生均可申报作品参赛；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00" w:lineRule="auto"/>
        <w:ind w:firstLine="420"/>
        <w:jc w:val="both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>4.</w:t>
      </w:r>
      <w:r>
        <w:rPr>
          <w:rFonts w:ascii="宋体" w:hAnsi="宋体" w:eastAsia="宋体" w:cs="宋体"/>
          <w:color w:val="auto"/>
          <w:sz w:val="24"/>
          <w:szCs w:val="24"/>
        </w:rPr>
        <w:t>学生可通过团队的方式参赛。团队成员不超过</w:t>
      </w:r>
      <w:r>
        <w:rPr>
          <w:rFonts w:ascii="宋体" w:hAnsi="宋体" w:eastAsia="宋体" w:cs="TimesNewRomanPSMT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人，其中一名学生任主讲，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其他学生按贡献排序；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00" w:lineRule="auto"/>
        <w:ind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>5.</w:t>
      </w:r>
      <w:r>
        <w:rPr>
          <w:rFonts w:ascii="宋体" w:hAnsi="宋体" w:eastAsia="宋体" w:cs="宋体"/>
          <w:color w:val="auto"/>
          <w:sz w:val="24"/>
          <w:szCs w:val="24"/>
        </w:rPr>
        <w:t>初赛以报送讲课视频的形式进行网络初评。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before="219" w:line="288" w:lineRule="auto"/>
        <w:ind w:firstLine="29"/>
        <w:textAlignment w:val="center"/>
        <w:outlineLvl w:val="6"/>
        <w:rPr>
          <w:rFonts w:ascii="Times New Roman" w:hAnsi="Times New Roman" w:eastAsia="宋体" w:cs="宋体"/>
          <w:b/>
          <w:bCs/>
          <w:color w:val="auto"/>
          <w:sz w:val="28"/>
          <w:szCs w:val="28"/>
        </w:rPr>
      </w:pPr>
      <w:r>
        <w:rPr>
          <w:rFonts w:ascii="Times New Roman" w:hAnsi="Times New Roman" w:eastAsia="宋体" w:cs="宋体"/>
          <w:b/>
          <w:bCs/>
          <w:color w:val="auto"/>
          <w:spacing w:val="-5"/>
          <w:sz w:val="28"/>
          <w:szCs w:val="28"/>
        </w:rPr>
        <w:t>二、初赛视频要求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hint="eastAsia" w:ascii="宋体" w:hAnsi="宋体" w:eastAsia="宋体" w:cs="TimesNewRomanPSMT"/>
          <w:color w:val="auto"/>
          <w:sz w:val="24"/>
          <w:szCs w:val="24"/>
        </w:rPr>
        <w:t>1.</w:t>
      </w:r>
      <w:r>
        <w:rPr>
          <w:rFonts w:ascii="宋体" w:hAnsi="宋体" w:eastAsia="宋体" w:cs="TimesNewRomanPSMT"/>
          <w:color w:val="auto"/>
          <w:sz w:val="24"/>
          <w:szCs w:val="24"/>
        </w:rPr>
        <w:t>讲课内容从所在学校开设《大学物理实验》课程的相关教学内容中选取，视频设计和制作请对照《第</w:t>
      </w:r>
      <w:r>
        <w:rPr>
          <w:rFonts w:hint="eastAsia" w:ascii="宋体" w:hAnsi="宋体" w:eastAsia="宋体" w:cs="TimesNewRomanPSMT"/>
          <w:color w:val="auto"/>
          <w:sz w:val="24"/>
          <w:szCs w:val="24"/>
        </w:rPr>
        <w:t>九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届大学生物理实验讲课竞赛评审标准》具体要求；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2.参赛的讲课视频须为参赛学生的同步课堂教学实录，不建议过多的后期制作或渲染；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3.讲课视频中须出现参赛学生，不可出现指导教师；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4.视频中(包括讲课 PPT 等) 不可出现校名、教师和学生信息等；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5.参赛学生穿着正装 (不允许穿制服) 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6.参赛讲课视频讲课时长 16 到 20 分钟之间；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7.视频声音和画面清晰，分辨率为 720P，视频文件大小不超过 200M；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8.参赛作品由参赛学生所在学院 (或系) 主管领导审核确认后提交； </w:t>
      </w:r>
    </w:p>
    <w:p>
      <w:pPr>
        <w:spacing w:line="300" w:lineRule="auto"/>
        <w:ind w:firstLine="420"/>
        <w:jc w:val="both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9.凡不满足以上相关要求的视频，将酌情扣除 5-10 分。 </w:t>
      </w:r>
    </w:p>
    <w:p>
      <w:pPr>
        <w:spacing w:line="360" w:lineRule="auto"/>
        <w:textAlignment w:val="center"/>
        <w:rPr>
          <w:rFonts w:ascii="宋体" w:hAnsi="宋体" w:eastAsia="宋体"/>
          <w:color w:val="auto"/>
          <w:sz w:val="24"/>
        </w:rPr>
      </w:pPr>
    </w:p>
    <w:p>
      <w:pPr>
        <w:spacing w:line="288" w:lineRule="auto"/>
        <w:jc w:val="center"/>
        <w:textAlignment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本细则未尽事宜由本竞赛组委会负责解释。</w:t>
      </w:r>
    </w:p>
    <w:p>
      <w:pPr>
        <w:spacing w:line="288" w:lineRule="auto"/>
        <w:jc w:val="center"/>
        <w:textAlignment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line="288" w:lineRule="auto"/>
        <w:jc w:val="right"/>
        <w:textAlignment w:val="center"/>
        <w:rPr>
          <w:rFonts w:ascii="Times New Roman" w:hAnsi="Times New Roman" w:eastAsia="宋体" w:cs="宋体"/>
          <w:color w:val="auto"/>
          <w:spacing w:val="-6"/>
          <w:sz w:val="24"/>
          <w:szCs w:val="28"/>
        </w:rPr>
      </w:pPr>
      <w:r>
        <w:rPr>
          <w:rFonts w:hint="eastAsia" w:ascii="Times New Roman" w:hAnsi="Times New Roman" w:eastAsia="宋体" w:cs="宋体"/>
          <w:color w:val="auto"/>
          <w:spacing w:val="-6"/>
          <w:sz w:val="24"/>
          <w:szCs w:val="28"/>
        </w:rPr>
        <w:t>大学生物理实验创新设计竞赛组委会</w:t>
      </w:r>
    </w:p>
    <w:p>
      <w:pPr>
        <w:spacing w:before="187" w:line="288" w:lineRule="auto"/>
        <w:ind w:left="2809" w:right="13"/>
        <w:jc w:val="right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  <w:sectPr>
          <w:pgSz w:w="11906" w:h="16839"/>
          <w:pgMar w:top="1440" w:right="1800" w:bottom="1440" w:left="1800" w:header="0" w:footer="0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202</w:t>
      </w: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4年3月</w:t>
      </w: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19</w:t>
      </w: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日</w:t>
      </w:r>
    </w:p>
    <w:p>
      <w:pPr>
        <w:spacing w:before="162" w:line="288" w:lineRule="auto"/>
        <w:ind w:firstLine="51"/>
        <w:jc w:val="center"/>
        <w:textAlignment w:val="center"/>
        <w:rPr>
          <w:rFonts w:ascii="Times New Roman" w:hAnsi="Times New Roman" w:eastAsia="宋体" w:cs="宋体"/>
          <w:color w:val="auto"/>
          <w:sz w:val="24"/>
          <w:szCs w:val="28"/>
        </w:rPr>
      </w:pP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第九届大学生物理实验创新设计竞赛评审标准</w:t>
      </w:r>
    </w:p>
    <w:tbl>
      <w:tblPr>
        <w:tblStyle w:val="2"/>
        <w:tblpPr w:leftFromText="180" w:rightFromText="180" w:vertAnchor="text" w:horzAnchor="page" w:tblpX="1903" w:tblpY="14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398"/>
        <w:gridCol w:w="7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2" w:type="dxa"/>
          </w:tcPr>
          <w:p>
            <w:pPr>
              <w:spacing w:before="171" w:line="288" w:lineRule="auto"/>
              <w:ind w:firstLine="150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</w:rPr>
              <w:t>评价维度</w:t>
            </w:r>
          </w:p>
        </w:tc>
        <w:tc>
          <w:tcPr>
            <w:tcW w:w="6398" w:type="dxa"/>
          </w:tcPr>
          <w:p>
            <w:pPr>
              <w:spacing w:before="171" w:line="288" w:lineRule="auto"/>
              <w:ind w:firstLine="2523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8"/>
              </w:rPr>
              <w:t>评价要点</w:t>
            </w:r>
          </w:p>
        </w:tc>
        <w:tc>
          <w:tcPr>
            <w:tcW w:w="719" w:type="dxa"/>
          </w:tcPr>
          <w:p>
            <w:pPr>
              <w:spacing w:before="171" w:line="288" w:lineRule="auto"/>
              <w:ind w:firstLine="165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6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062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09" w:line="288" w:lineRule="auto"/>
              <w:ind w:firstLine="154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教学理念</w:t>
            </w:r>
          </w:p>
        </w:tc>
        <w:tc>
          <w:tcPr>
            <w:tcW w:w="6398" w:type="dxa"/>
            <w:vAlign w:val="center"/>
          </w:tcPr>
          <w:p>
            <w:pPr>
              <w:spacing w:before="237" w:line="288" w:lineRule="auto"/>
              <w:ind w:left="146" w:right="101" w:hanging="18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 xml:space="preserve">1. 落实立德树人根本任务，能够体现大学物理实验的教学目标，自然融入课程思政元素，有效发挥课程育人功能。 </w:t>
            </w:r>
          </w:p>
        </w:tc>
        <w:tc>
          <w:tcPr>
            <w:tcW w:w="719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41" w:line="288" w:lineRule="auto"/>
              <w:ind w:firstLine="337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w w:val="98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62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6398" w:type="dxa"/>
            <w:vAlign w:val="center"/>
          </w:tcPr>
          <w:p>
            <w:pPr>
              <w:spacing w:before="191" w:line="288" w:lineRule="auto"/>
              <w:ind w:firstLine="115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6"/>
              </w:rPr>
              <w:t>2. 以学生为中心，在各教学环节中体现教学设计与教学创新。</w:t>
            </w:r>
          </w:p>
        </w:tc>
        <w:tc>
          <w:tcPr>
            <w:tcW w:w="719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62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192" w:line="288" w:lineRule="auto"/>
              <w:ind w:firstLine="154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教学内容</w:t>
            </w:r>
          </w:p>
        </w:tc>
        <w:tc>
          <w:tcPr>
            <w:tcW w:w="6398" w:type="dxa"/>
            <w:vAlign w:val="center"/>
          </w:tcPr>
          <w:p>
            <w:pPr>
              <w:spacing w:before="80" w:line="288" w:lineRule="auto"/>
              <w:ind w:left="114" w:right="106" w:firstLine="2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3. 教学内容无科学性错误，实验操作熟练、规范 (如安全事项、有效数字、误差分析等) ，注重学科逻辑性与思辨性。有一定的深度、挑战度，能够科学解释学科的核心原理和思维方法，体现实验教学的创新。</w:t>
            </w:r>
          </w:p>
        </w:tc>
        <w:tc>
          <w:tcPr>
            <w:tcW w:w="719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25" w:line="288" w:lineRule="auto"/>
              <w:ind w:firstLine="325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5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6398" w:type="dxa"/>
            <w:vAlign w:val="center"/>
          </w:tcPr>
          <w:p>
            <w:pPr>
              <w:spacing w:before="238" w:line="288" w:lineRule="auto"/>
              <w:ind w:left="112" w:right="105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4.教学内容具有前沿性和时代性，能够反映社会和学科领域发展新成果和新趋势，树立正确的科学观。</w:t>
            </w:r>
          </w:p>
        </w:tc>
        <w:tc>
          <w:tcPr>
            <w:tcW w:w="719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168" w:line="288" w:lineRule="auto"/>
              <w:ind w:firstLine="154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教学过程</w:t>
            </w:r>
          </w:p>
        </w:tc>
        <w:tc>
          <w:tcPr>
            <w:tcW w:w="6398" w:type="dxa"/>
            <w:vAlign w:val="center"/>
          </w:tcPr>
          <w:p>
            <w:pPr>
              <w:spacing w:before="80" w:line="288" w:lineRule="auto"/>
              <w:ind w:left="114" w:right="106" w:firstLine="2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5.根据课程实际和学情基础，有效利用现代化技术手段进行教学</w:t>
            </w:r>
            <w:r>
              <w:rPr>
                <w:rFonts w:ascii="宋体" w:hAnsi="宋体" w:eastAsia="宋体" w:cs="宋体"/>
                <w:color w:val="auto"/>
                <w:spacing w:val="-1"/>
              </w:rPr>
              <w:t>策略设计，教学方法选择恰当有效，包含合理的互动设计，能引导学生积极参与实验教学。</w:t>
            </w:r>
          </w:p>
        </w:tc>
        <w:tc>
          <w:tcPr>
            <w:tcW w:w="719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02" w:line="288" w:lineRule="auto"/>
              <w:ind w:firstLine="325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5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6398" w:type="dxa"/>
            <w:vAlign w:val="center"/>
          </w:tcPr>
          <w:p>
            <w:pPr>
              <w:spacing w:before="237" w:line="288" w:lineRule="auto"/>
              <w:ind w:left="116" w:right="108" w:hanging="2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4"/>
              </w:rPr>
              <w:t>6.注重教学过程的探究性，具备一定的教学智慧，能够激发学生</w:t>
            </w:r>
            <w:r>
              <w:rPr>
                <w:rFonts w:ascii="宋体" w:hAnsi="宋体" w:eastAsia="宋体" w:cs="宋体"/>
                <w:color w:val="auto"/>
                <w:spacing w:val="-2"/>
              </w:rPr>
              <w:t>学习潜能和探究意识。</w:t>
            </w:r>
          </w:p>
        </w:tc>
        <w:tc>
          <w:tcPr>
            <w:tcW w:w="719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168" w:line="288" w:lineRule="auto"/>
              <w:ind w:firstLine="154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教学效果</w:t>
            </w:r>
          </w:p>
        </w:tc>
        <w:tc>
          <w:tcPr>
            <w:tcW w:w="6398" w:type="dxa"/>
            <w:vAlign w:val="center"/>
          </w:tcPr>
          <w:p>
            <w:pPr>
              <w:spacing w:before="236" w:line="288" w:lineRule="auto"/>
              <w:ind w:left="112" w:right="108" w:firstLine="5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7.能有效促进学习者理解所讲课程的知识结构与思想体系，掌握</w:t>
            </w:r>
            <w:r>
              <w:rPr>
                <w:rFonts w:ascii="宋体" w:hAnsi="宋体" w:eastAsia="宋体" w:cs="宋体"/>
                <w:color w:val="auto"/>
                <w:spacing w:val="-2"/>
              </w:rPr>
              <w:t>所讲知识的运用情境、策略和方法。</w:t>
            </w:r>
          </w:p>
        </w:tc>
        <w:tc>
          <w:tcPr>
            <w:tcW w:w="719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00" w:line="288" w:lineRule="auto"/>
              <w:ind w:firstLine="337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w w:val="99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6398" w:type="dxa"/>
            <w:vAlign w:val="center"/>
          </w:tcPr>
          <w:p>
            <w:pPr>
              <w:spacing w:before="80" w:line="288" w:lineRule="auto"/>
              <w:ind w:left="115" w:right="98" w:hanging="2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4"/>
              </w:rPr>
              <w:t>8.能够激发学生学习兴趣，思考实验教学多方面的育人作用，感</w:t>
            </w:r>
            <w:r>
              <w:rPr>
                <w:rFonts w:ascii="宋体" w:hAnsi="宋体" w:eastAsia="宋体" w:cs="宋体"/>
                <w:color w:val="auto"/>
                <w:spacing w:val="1"/>
              </w:rPr>
              <w:t>悟课程的意义与价值，培养学生形成批判反思的思维习惯，塑造</w:t>
            </w:r>
            <w:r>
              <w:rPr>
                <w:rFonts w:ascii="宋体" w:hAnsi="宋体" w:eastAsia="宋体" w:cs="宋体"/>
                <w:color w:val="auto"/>
                <w:spacing w:val="-2"/>
              </w:rPr>
              <w:t>学生卓越担当的人生品格</w:t>
            </w:r>
            <w:r>
              <w:rPr>
                <w:rFonts w:hint="eastAsia" w:ascii="宋体" w:hAnsi="宋体" w:eastAsia="宋体" w:cs="宋体"/>
                <w:color w:val="auto"/>
                <w:spacing w:val="-2"/>
              </w:rPr>
              <w:t>。</w:t>
            </w:r>
          </w:p>
        </w:tc>
        <w:tc>
          <w:tcPr>
            <w:tcW w:w="719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2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53" w:line="288" w:lineRule="auto"/>
              <w:ind w:firstLine="154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教学仪态</w:t>
            </w:r>
          </w:p>
        </w:tc>
        <w:tc>
          <w:tcPr>
            <w:tcW w:w="6398" w:type="dxa"/>
            <w:vAlign w:val="center"/>
          </w:tcPr>
          <w:p>
            <w:pPr>
              <w:spacing w:before="234" w:line="288" w:lineRule="auto"/>
              <w:ind w:firstLine="113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4"/>
              </w:rPr>
              <w:t>9.讲课者着装得体，教态自然大方，符合教师职业规范。</w:t>
            </w:r>
          </w:p>
        </w:tc>
        <w:tc>
          <w:tcPr>
            <w:tcW w:w="719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85" w:line="288" w:lineRule="auto"/>
              <w:ind w:firstLine="337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w w:val="98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6398" w:type="dxa"/>
            <w:vAlign w:val="center"/>
          </w:tcPr>
          <w:p>
            <w:pPr>
              <w:spacing w:before="235" w:line="288" w:lineRule="auto"/>
              <w:ind w:left="112" w:right="108" w:firstLine="15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</w:rPr>
              <w:t>10.教学语言（包括体态语）规范、准确，包括用普通话教学、语言表达流畅、语速合理和体态协调等。</w:t>
            </w:r>
          </w:p>
        </w:tc>
        <w:tc>
          <w:tcPr>
            <w:tcW w:w="719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62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44" w:line="288" w:lineRule="auto"/>
              <w:ind w:firstLine="154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3"/>
              </w:rPr>
              <w:t>教学展示</w:t>
            </w:r>
          </w:p>
        </w:tc>
        <w:tc>
          <w:tcPr>
            <w:tcW w:w="6398" w:type="dxa"/>
            <w:vAlign w:val="center"/>
          </w:tcPr>
          <w:p>
            <w:pPr>
              <w:spacing w:before="70" w:line="288" w:lineRule="auto"/>
              <w:ind w:left="113" w:right="108" w:firstLine="14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2"/>
              </w:rPr>
              <w:t>11.文字书写规范，美观大方；合理运用板书且设计布局合理、</w:t>
            </w:r>
            <w:r>
              <w:rPr>
                <w:rFonts w:ascii="宋体" w:hAnsi="宋体" w:eastAsia="宋体" w:cs="宋体"/>
                <w:color w:val="auto"/>
                <w:spacing w:val="-4"/>
              </w:rPr>
              <w:t>整洁。</w:t>
            </w:r>
          </w:p>
        </w:tc>
        <w:tc>
          <w:tcPr>
            <w:tcW w:w="719" w:type="dxa"/>
            <w:vMerge w:val="restart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before="276" w:line="288" w:lineRule="auto"/>
              <w:ind w:firstLine="337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10"/>
                <w:w w:val="99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62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6398" w:type="dxa"/>
            <w:vAlign w:val="center"/>
          </w:tcPr>
          <w:p>
            <w:pPr>
              <w:spacing w:before="81" w:line="288" w:lineRule="auto"/>
              <w:ind w:left="113" w:firstLine="14"/>
              <w:jc w:val="both"/>
              <w:textAlignment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1"/>
              </w:rPr>
              <w:t>12.教学课件有先进的设计理念，具有交互性或动态感；素材格式规范，编辑效果（包括字体、字号，背景与内容的颜色、风格等）简洁、清新、美观。</w:t>
            </w:r>
          </w:p>
        </w:tc>
        <w:tc>
          <w:tcPr>
            <w:tcW w:w="719" w:type="dxa"/>
            <w:vMerge w:val="continue"/>
          </w:tcPr>
          <w:p>
            <w:pPr>
              <w:spacing w:line="288" w:lineRule="auto"/>
              <w:textAlignment w:val="center"/>
              <w:rPr>
                <w:rFonts w:ascii="宋体" w:hAnsi="宋体" w:eastAsia="宋体"/>
                <w:color w:val="auto"/>
              </w:rPr>
            </w:pPr>
          </w:p>
        </w:tc>
      </w:tr>
    </w:tbl>
    <w:p>
      <w:pPr>
        <w:spacing w:before="137" w:line="288" w:lineRule="auto"/>
        <w:jc w:val="center"/>
        <w:textAlignment w:val="center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pacing w:val="-4"/>
        </w:rPr>
        <w:t>备注:由于参赛选手是学生，降低了教学效果的评价，主要考察学生的教学基本能力。</w:t>
      </w:r>
    </w:p>
    <w:p/>
    <w:sectPr>
      <w:pgSz w:w="11906" w:h="16839"/>
      <w:pgMar w:top="1440" w:right="1800" w:bottom="144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GRlYzBmY2U2NDk3YjM2MzFkOGE0MWUwOTc5NDQifQ=="/>
  </w:docVars>
  <w:rsids>
    <w:rsidRoot w:val="10963F44"/>
    <w:rsid w:val="06044AD6"/>
    <w:rsid w:val="0C254C30"/>
    <w:rsid w:val="0CE81A33"/>
    <w:rsid w:val="10963F44"/>
    <w:rsid w:val="127B73F5"/>
    <w:rsid w:val="12DB3514"/>
    <w:rsid w:val="16CC325C"/>
    <w:rsid w:val="18144F3C"/>
    <w:rsid w:val="1A322043"/>
    <w:rsid w:val="1DB06F25"/>
    <w:rsid w:val="2B12151D"/>
    <w:rsid w:val="38BF136C"/>
    <w:rsid w:val="3A4C530D"/>
    <w:rsid w:val="461C6091"/>
    <w:rsid w:val="47E45875"/>
    <w:rsid w:val="4FB86BCD"/>
    <w:rsid w:val="6CE45A22"/>
    <w:rsid w:val="70187587"/>
    <w:rsid w:val="726D6124"/>
    <w:rsid w:val="792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2024-03-21T08:29:00Z</dcterms:created>
  <dc:creator>Administrator</dc:creator>
  <cp:lastModifiedBy>Administrator</cp:lastModifiedBy>
  <dcterms:modified xsi:type="dcterms:W3CDTF">2024-03-21T08:30:03Z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61BB81BFA4C94F4EA68D8D48E16BA2D7_11</vt:lpwstr>
  </property>
</Properties>
</file>